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2012 33 / 250 vom 6. März 2008</w:t>
      </w:r>
    </w:p>
    <w:p>
      <w:r>
        <w:t>BL Gerichte, 2008-03-06, DE</w:t>
      </w:r>
    </w:p>
    <w:p>
      <w:r>
        <w:rPr>
          <w:b/>
        </w:rPr>
        <w:t xml:space="preserve">Quelle: </w:t>
      </w:r>
      <w:r>
        <w:t>https://mcp.opencaselaw.ch/entscheid/bl_gerichte_720 2012 33 _ 250</w:t>
      </w:r>
    </w:p>
    <w:p>
      <w:r>
        <w:t>FR: BL_GERICHTE 720 2012 33 / 250 du 6 mars 2008</w:t>
      </w:r>
    </w:p>
    <w:p>
      <w:r>
        <w:t>IT: BL_GERICHTE 720 2012 33 / 250 del 6 marzo 2008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im Übrigen frist- und formgerecht erhobene Beschwerde vom 1. Februar 2012 ist demnach einzutreten.</w:t>
      </w:r>
    </w:p>
    <w:p>
      <w:r>
        <w:rPr>
          <w:b/>
        </w:rPr>
        <w:t>E. 2</w:t>
      </w:r>
    </w:p>
    <w:p>
      <w:r>
        <w:t>Die Verfahrenskosten in der Höhe von Fr. 600.-- werden der Beschwerdeführerin auferlegt und mit dem geleisteten Kostenvorschuss in der Höhe von Fr. 600.-- verrechnet.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